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7F" w:rsidRDefault="002927F7">
      <w:pPr>
        <w:rPr>
          <w:b/>
          <w:sz w:val="36"/>
          <w:szCs w:val="36"/>
        </w:rPr>
      </w:pPr>
      <w:r w:rsidRPr="002605E7">
        <w:rPr>
          <w:b/>
          <w:sz w:val="36"/>
          <w:szCs w:val="36"/>
        </w:rPr>
        <w:t>Vem vill du vara?</w:t>
      </w:r>
    </w:p>
    <w:p w:rsidR="0088696D" w:rsidRPr="002605E7" w:rsidRDefault="0088696D">
      <w:pPr>
        <w:rPr>
          <w:b/>
          <w:sz w:val="36"/>
          <w:szCs w:val="36"/>
        </w:rPr>
      </w:pPr>
      <w:r>
        <w:rPr>
          <w:b/>
          <w:sz w:val="36"/>
          <w:szCs w:val="36"/>
        </w:rPr>
        <w:t>Arbete v 2 – v 6</w:t>
      </w:r>
    </w:p>
    <w:p w:rsidR="00BD2760" w:rsidRDefault="00BD2760">
      <w:pPr>
        <w:rPr>
          <w:b/>
        </w:rPr>
      </w:pPr>
    </w:p>
    <w:p w:rsidR="00BD2760" w:rsidRDefault="00BD2760">
      <w:pPr>
        <w:rPr>
          <w:b/>
        </w:rPr>
      </w:pPr>
    </w:p>
    <w:p w:rsidR="00BD2760" w:rsidRPr="002605E7" w:rsidRDefault="00BD2760">
      <w:pPr>
        <w:rPr>
          <w:b/>
          <w:sz w:val="28"/>
          <w:szCs w:val="28"/>
        </w:rPr>
      </w:pPr>
      <w:r w:rsidRPr="002605E7">
        <w:rPr>
          <w:b/>
          <w:sz w:val="28"/>
          <w:szCs w:val="28"/>
        </w:rPr>
        <w:t>Namn:______________________________________________</w:t>
      </w:r>
    </w:p>
    <w:p w:rsidR="00BD2760" w:rsidRPr="002605E7" w:rsidRDefault="00BD2760">
      <w:pPr>
        <w:rPr>
          <w:b/>
          <w:sz w:val="28"/>
          <w:szCs w:val="28"/>
        </w:rPr>
      </w:pPr>
    </w:p>
    <w:p w:rsidR="008D7ED4" w:rsidRPr="002605E7" w:rsidRDefault="008D7ED4">
      <w:pPr>
        <w:rPr>
          <w:sz w:val="28"/>
          <w:szCs w:val="28"/>
        </w:rPr>
      </w:pPr>
      <w:r w:rsidRPr="002605E7">
        <w:rPr>
          <w:b/>
          <w:sz w:val="28"/>
          <w:szCs w:val="28"/>
        </w:rPr>
        <w:t>Uppgift</w:t>
      </w:r>
      <w:r w:rsidRPr="002605E7">
        <w:rPr>
          <w:sz w:val="28"/>
          <w:szCs w:val="28"/>
        </w:rPr>
        <w:br/>
        <w:t xml:space="preserve">Iscensätta ett </w:t>
      </w:r>
      <w:r w:rsidR="000262B3" w:rsidRPr="002605E7">
        <w:rPr>
          <w:sz w:val="28"/>
          <w:szCs w:val="28"/>
        </w:rPr>
        <w:t xml:space="preserve">personligt </w:t>
      </w:r>
      <w:r w:rsidRPr="002605E7">
        <w:rPr>
          <w:sz w:val="28"/>
          <w:szCs w:val="28"/>
        </w:rPr>
        <w:t>uttryck och formge det för fotografering.</w:t>
      </w:r>
      <w:r w:rsidRPr="002605E7">
        <w:rPr>
          <w:sz w:val="28"/>
          <w:szCs w:val="28"/>
        </w:rPr>
        <w:br/>
        <w:t xml:space="preserve">Placera </w:t>
      </w:r>
      <w:r w:rsidR="000262B3" w:rsidRPr="002605E7">
        <w:rPr>
          <w:sz w:val="28"/>
          <w:szCs w:val="28"/>
        </w:rPr>
        <w:t xml:space="preserve">det personliga </w:t>
      </w:r>
      <w:r w:rsidRPr="002605E7">
        <w:rPr>
          <w:sz w:val="28"/>
          <w:szCs w:val="28"/>
        </w:rPr>
        <w:t xml:space="preserve">uttrycket i en </w:t>
      </w:r>
      <w:r w:rsidR="000262B3" w:rsidRPr="002605E7">
        <w:rPr>
          <w:sz w:val="28"/>
          <w:szCs w:val="28"/>
        </w:rPr>
        <w:t xml:space="preserve">abstrakt </w:t>
      </w:r>
      <w:r w:rsidRPr="002605E7">
        <w:rPr>
          <w:sz w:val="28"/>
          <w:szCs w:val="28"/>
        </w:rPr>
        <w:t>miljö</w:t>
      </w:r>
      <w:r w:rsidR="000262B3" w:rsidRPr="002605E7">
        <w:rPr>
          <w:sz w:val="28"/>
          <w:szCs w:val="28"/>
        </w:rPr>
        <w:t>, kontext,</w:t>
      </w:r>
      <w:r w:rsidRPr="002605E7">
        <w:rPr>
          <w:sz w:val="28"/>
          <w:szCs w:val="28"/>
        </w:rPr>
        <w:t xml:space="preserve"> som på något sätt förstärker uttrycket om ”Vem vill du vara”?</w:t>
      </w:r>
      <w:r w:rsidR="000262B3" w:rsidRPr="002605E7">
        <w:rPr>
          <w:sz w:val="28"/>
          <w:szCs w:val="28"/>
        </w:rPr>
        <w:t xml:space="preserve"> Det är personen som ska framträda på bilden. Den abstrakta miljön ska endast förstärka uttrycket. Tänk på val av färger och former för att förstärka det bilden vill berätta.</w:t>
      </w:r>
    </w:p>
    <w:p w:rsidR="000262B3" w:rsidRPr="002605E7" w:rsidRDefault="000262B3">
      <w:pPr>
        <w:rPr>
          <w:sz w:val="28"/>
          <w:szCs w:val="28"/>
        </w:rPr>
      </w:pPr>
      <w:r w:rsidRPr="002605E7">
        <w:rPr>
          <w:sz w:val="28"/>
          <w:szCs w:val="28"/>
        </w:rPr>
        <w:t>Tunnel, dimma, värme</w:t>
      </w:r>
    </w:p>
    <w:p w:rsidR="008D7ED4" w:rsidRPr="002605E7" w:rsidRDefault="008D7ED4">
      <w:pPr>
        <w:rPr>
          <w:sz w:val="28"/>
          <w:szCs w:val="28"/>
        </w:rPr>
      </w:pPr>
    </w:p>
    <w:p w:rsidR="008D7ED4" w:rsidRPr="002605E7" w:rsidRDefault="008D7ED4">
      <w:pPr>
        <w:rPr>
          <w:sz w:val="28"/>
          <w:szCs w:val="28"/>
        </w:rPr>
      </w:pPr>
      <w:r w:rsidRPr="002605E7">
        <w:rPr>
          <w:b/>
          <w:sz w:val="28"/>
          <w:szCs w:val="28"/>
        </w:rPr>
        <w:t>Material</w:t>
      </w:r>
      <w:r w:rsidRPr="002605E7">
        <w:rPr>
          <w:b/>
          <w:sz w:val="28"/>
          <w:szCs w:val="28"/>
        </w:rPr>
        <w:br/>
      </w:r>
      <w:r w:rsidR="00714321" w:rsidRPr="002605E7">
        <w:rPr>
          <w:sz w:val="28"/>
          <w:szCs w:val="28"/>
        </w:rPr>
        <w:t>-</w:t>
      </w:r>
      <w:r w:rsidR="00CF4307" w:rsidRPr="002605E7">
        <w:rPr>
          <w:sz w:val="28"/>
          <w:szCs w:val="28"/>
        </w:rPr>
        <w:t>Kamera för fotografering</w:t>
      </w:r>
      <w:r w:rsidRPr="002605E7">
        <w:rPr>
          <w:sz w:val="28"/>
          <w:szCs w:val="28"/>
        </w:rPr>
        <w:br/>
      </w:r>
      <w:r w:rsidR="00714321" w:rsidRPr="002605E7">
        <w:rPr>
          <w:sz w:val="28"/>
          <w:szCs w:val="28"/>
        </w:rPr>
        <w:t>-</w:t>
      </w:r>
      <w:r w:rsidRPr="002605E7">
        <w:rPr>
          <w:sz w:val="28"/>
          <w:szCs w:val="28"/>
        </w:rPr>
        <w:t>Tidningar – dagstidning och veckotidning</w:t>
      </w:r>
      <w:r w:rsidR="00BD2760" w:rsidRPr="002605E7">
        <w:rPr>
          <w:sz w:val="28"/>
          <w:szCs w:val="28"/>
        </w:rPr>
        <w:br/>
        <w:t>-Färgat papper</w:t>
      </w:r>
      <w:r w:rsidRPr="002605E7">
        <w:rPr>
          <w:sz w:val="28"/>
          <w:szCs w:val="28"/>
        </w:rPr>
        <w:br/>
      </w:r>
      <w:r w:rsidR="00714321" w:rsidRPr="002605E7">
        <w:rPr>
          <w:sz w:val="28"/>
          <w:szCs w:val="28"/>
        </w:rPr>
        <w:t>-</w:t>
      </w:r>
      <w:r w:rsidRPr="002605E7">
        <w:rPr>
          <w:sz w:val="28"/>
          <w:szCs w:val="28"/>
        </w:rPr>
        <w:t>Lim</w:t>
      </w:r>
      <w:r w:rsidRPr="002605E7">
        <w:rPr>
          <w:sz w:val="28"/>
          <w:szCs w:val="28"/>
        </w:rPr>
        <w:br/>
      </w:r>
      <w:r w:rsidR="00714321" w:rsidRPr="002605E7">
        <w:rPr>
          <w:sz w:val="28"/>
          <w:szCs w:val="28"/>
        </w:rPr>
        <w:t>-</w:t>
      </w:r>
      <w:r w:rsidRPr="002605E7">
        <w:rPr>
          <w:sz w:val="28"/>
          <w:szCs w:val="28"/>
        </w:rPr>
        <w:t>Sax</w:t>
      </w:r>
      <w:r w:rsidRPr="002605E7">
        <w:rPr>
          <w:sz w:val="28"/>
          <w:szCs w:val="28"/>
        </w:rPr>
        <w:br/>
      </w:r>
      <w:r w:rsidR="00714321" w:rsidRPr="002605E7">
        <w:rPr>
          <w:sz w:val="28"/>
          <w:szCs w:val="28"/>
        </w:rPr>
        <w:t>-</w:t>
      </w:r>
      <w:r w:rsidRPr="002605E7">
        <w:rPr>
          <w:sz w:val="28"/>
          <w:szCs w:val="28"/>
        </w:rPr>
        <w:t>Färgpennor</w:t>
      </w:r>
      <w:r w:rsidRPr="002605E7">
        <w:rPr>
          <w:sz w:val="28"/>
          <w:szCs w:val="28"/>
        </w:rPr>
        <w:br/>
      </w:r>
      <w:r w:rsidR="00714321" w:rsidRPr="002605E7">
        <w:rPr>
          <w:sz w:val="28"/>
          <w:szCs w:val="28"/>
        </w:rPr>
        <w:t>-</w:t>
      </w:r>
      <w:r w:rsidRPr="002605E7">
        <w:rPr>
          <w:sz w:val="28"/>
          <w:szCs w:val="28"/>
        </w:rPr>
        <w:t>Papper</w:t>
      </w:r>
    </w:p>
    <w:p w:rsidR="000262B3" w:rsidRPr="002605E7" w:rsidRDefault="000262B3">
      <w:pPr>
        <w:rPr>
          <w:sz w:val="28"/>
          <w:szCs w:val="28"/>
        </w:rPr>
      </w:pPr>
    </w:p>
    <w:p w:rsidR="000262B3" w:rsidRPr="002605E7" w:rsidRDefault="000262B3">
      <w:pPr>
        <w:rPr>
          <w:sz w:val="28"/>
          <w:szCs w:val="28"/>
        </w:rPr>
      </w:pPr>
      <w:r w:rsidRPr="002605E7">
        <w:rPr>
          <w:b/>
          <w:sz w:val="28"/>
          <w:szCs w:val="28"/>
        </w:rPr>
        <w:t>Ord och begrepp:</w:t>
      </w:r>
      <w:r w:rsidRPr="002605E7">
        <w:rPr>
          <w:b/>
          <w:sz w:val="28"/>
          <w:szCs w:val="28"/>
        </w:rPr>
        <w:br/>
      </w:r>
      <w:r w:rsidRPr="002605E7">
        <w:rPr>
          <w:sz w:val="28"/>
          <w:szCs w:val="28"/>
        </w:rPr>
        <w:t>- fågelperspektiv</w:t>
      </w:r>
      <w:r w:rsidRPr="002605E7">
        <w:rPr>
          <w:sz w:val="28"/>
          <w:szCs w:val="28"/>
        </w:rPr>
        <w:br/>
        <w:t>-grodperspektiv</w:t>
      </w:r>
      <w:r w:rsidRPr="002605E7">
        <w:rPr>
          <w:sz w:val="28"/>
          <w:szCs w:val="28"/>
        </w:rPr>
        <w:br/>
        <w:t>- närbild</w:t>
      </w:r>
      <w:r w:rsidRPr="002605E7">
        <w:rPr>
          <w:sz w:val="28"/>
          <w:szCs w:val="28"/>
        </w:rPr>
        <w:br/>
        <w:t>-</w:t>
      </w:r>
      <w:proofErr w:type="spellStart"/>
      <w:r w:rsidRPr="002605E7">
        <w:rPr>
          <w:sz w:val="28"/>
          <w:szCs w:val="28"/>
        </w:rPr>
        <w:t>halvbild</w:t>
      </w:r>
      <w:proofErr w:type="spellEnd"/>
      <w:r w:rsidRPr="002605E7">
        <w:rPr>
          <w:sz w:val="28"/>
          <w:szCs w:val="28"/>
        </w:rPr>
        <w:br/>
        <w:t>-helbild</w:t>
      </w:r>
    </w:p>
    <w:p w:rsidR="000262B3" w:rsidRDefault="000262B3">
      <w:r>
        <w:br/>
      </w:r>
    </w:p>
    <w:p w:rsidR="00C11660" w:rsidRDefault="00C11660" w:rsidP="004C7D2A">
      <w:pPr>
        <w:pStyle w:val="lead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C7D2A" w:rsidRPr="002605E7" w:rsidRDefault="008D7ED4" w:rsidP="004C7D2A">
      <w:pPr>
        <w:pStyle w:val="lead"/>
        <w:shd w:val="clear" w:color="auto" w:fill="FFFFFF"/>
        <w:rPr>
          <w:rFonts w:ascii="Helvetica" w:hAnsi="Helvetica" w:cs="Helvetica"/>
          <w:b/>
          <w:color w:val="444444"/>
          <w:sz w:val="16"/>
          <w:szCs w:val="16"/>
          <w:u w:val="single"/>
        </w:rPr>
      </w:pPr>
      <w:bookmarkStart w:id="0" w:name="_GoBack"/>
      <w:bookmarkEnd w:id="0"/>
      <w:r w:rsidRPr="002605E7">
        <w:rPr>
          <w:b/>
          <w:sz w:val="16"/>
          <w:szCs w:val="16"/>
          <w:u w:val="single"/>
        </w:rPr>
        <w:lastRenderedPageBreak/>
        <w:t>V</w:t>
      </w:r>
      <w:r w:rsidR="004C7D2A" w:rsidRPr="002605E7">
        <w:rPr>
          <w:rFonts w:ascii="Helvetica" w:hAnsi="Helvetica" w:cs="Helvetica"/>
          <w:b/>
          <w:color w:val="444444"/>
          <w:sz w:val="16"/>
          <w:szCs w:val="16"/>
          <w:u w:val="single"/>
        </w:rPr>
        <w:t xml:space="preserve">isad kunskap i förhållande till kunskapskraven i Bild för år 7-9.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463"/>
        <w:gridCol w:w="2335"/>
        <w:gridCol w:w="2369"/>
        <w:gridCol w:w="2348"/>
      </w:tblGrid>
      <w:tr w:rsidR="004C7D2A" w:rsidRPr="002605E7" w:rsidTr="004C7D2A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444444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444444"/>
                <w:sz w:val="16"/>
                <w:szCs w:val="16"/>
                <w:lang w:eastAsia="sv-SE"/>
              </w:rPr>
            </w:pPr>
            <w:r w:rsidRPr="002605E7">
              <w:rPr>
                <w:rFonts w:ascii="Helvetica" w:eastAsia="Times New Roman" w:hAnsi="Helvetica" w:cs="Helvetica"/>
                <w:b/>
                <w:color w:val="444444"/>
                <w:sz w:val="16"/>
                <w:szCs w:val="16"/>
                <w:lang w:eastAsia="sv-SE"/>
              </w:rPr>
              <w:t>Insats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066200" w:rsidP="00066200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444444"/>
                <w:sz w:val="16"/>
                <w:szCs w:val="16"/>
                <w:lang w:eastAsia="sv-SE"/>
              </w:rPr>
            </w:pPr>
            <w:r w:rsidRPr="002605E7">
              <w:rPr>
                <w:rFonts w:ascii="Helvetica" w:eastAsia="Times New Roman" w:hAnsi="Helvetica" w:cs="Helvetica"/>
                <w:b/>
                <w:color w:val="444444"/>
                <w:sz w:val="16"/>
                <w:szCs w:val="16"/>
                <w:lang w:eastAsia="sv-SE"/>
              </w:rPr>
              <w:t xml:space="preserve">            </w:t>
            </w:r>
            <w:r w:rsidR="004C7D2A" w:rsidRPr="002605E7">
              <w:rPr>
                <w:rFonts w:ascii="Helvetica" w:eastAsia="Times New Roman" w:hAnsi="Helvetica" w:cs="Helvetica"/>
                <w:b/>
                <w:color w:val="444444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066200" w:rsidP="004C7D2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444444"/>
                <w:sz w:val="16"/>
                <w:szCs w:val="16"/>
                <w:lang w:eastAsia="sv-SE"/>
              </w:rPr>
            </w:pPr>
            <w:r w:rsidRPr="002605E7">
              <w:rPr>
                <w:rFonts w:ascii="Helvetica" w:eastAsia="Times New Roman" w:hAnsi="Helvetica" w:cs="Helvetica"/>
                <w:b/>
                <w:color w:val="444444"/>
                <w:sz w:val="16"/>
                <w:szCs w:val="16"/>
                <w:lang w:eastAsia="sv-SE"/>
              </w:rPr>
              <w:t xml:space="preserve"> 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444444"/>
                <w:sz w:val="16"/>
                <w:szCs w:val="16"/>
                <w:lang w:eastAsia="sv-SE"/>
              </w:rPr>
            </w:pPr>
            <w:r w:rsidRPr="002605E7">
              <w:rPr>
                <w:rFonts w:ascii="Helvetica" w:eastAsia="Times New Roman" w:hAnsi="Helvetica" w:cs="Helvetica"/>
                <w:b/>
                <w:color w:val="444444"/>
                <w:sz w:val="16"/>
                <w:szCs w:val="16"/>
                <w:lang w:eastAsia="sv-SE"/>
              </w:rPr>
              <w:t>A</w:t>
            </w:r>
          </w:p>
        </w:tc>
      </w:tr>
      <w:tr w:rsidR="004C7D2A" w:rsidRPr="002605E7" w:rsidTr="004C7D2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444444"/>
                <w:sz w:val="16"/>
                <w:szCs w:val="16"/>
                <w:lang w:eastAsia="sv-SE"/>
              </w:rPr>
            </w:pPr>
            <w:r w:rsidRPr="002605E7">
              <w:rPr>
                <w:rFonts w:ascii="Helvetica" w:eastAsia="Times New Roman" w:hAnsi="Helvetica" w:cs="Helvetica"/>
                <w:b/>
                <w:color w:val="444444"/>
                <w:sz w:val="16"/>
                <w:szCs w:val="16"/>
                <w:lang w:eastAsia="sv-SE"/>
              </w:rPr>
              <w:t>Framställa bilder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</w:pP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Eleven kan framställa olika typer av berättande och informativa bilder som kommunicerar erfarenheter, åsikter och upplevelser med ett </w:t>
            </w:r>
            <w:r w:rsidRPr="002605E7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lang w:eastAsia="sv-SE"/>
              </w:rPr>
              <w:t>enkelt</w:t>
            </w: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 bildspråk och </w:t>
            </w:r>
            <w:r w:rsidRPr="002605E7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lang w:eastAsia="sv-SE"/>
              </w:rPr>
              <w:t>delvis genomarbetade</w:t>
            </w: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 uttrycksformer så att budskapet framgår.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</w:pP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Eleven kan framställa olika typer av berättande och informativa bilder som kommunicerar erfarenheter, åsikter och upplevelser med ett </w:t>
            </w:r>
            <w:r w:rsidRPr="002605E7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lang w:eastAsia="sv-SE"/>
              </w:rPr>
              <w:t>utvecklat</w:t>
            </w: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 bildspråk och </w:t>
            </w:r>
            <w:r w:rsidRPr="002605E7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lang w:eastAsia="sv-SE"/>
              </w:rPr>
              <w:t>relativt väl genomarbetade</w:t>
            </w: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 uttrycksformer så att budskapet framgår.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</w:pP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Eleven kan framställa olika typer av berättande och informativa bilder som kommunicerar erfarenheter, åsikter och upplevelser med ett </w:t>
            </w:r>
            <w:r w:rsidRPr="002605E7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lang w:eastAsia="sv-SE"/>
              </w:rPr>
              <w:t>välutvecklat</w:t>
            </w: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 bildspråk och </w:t>
            </w:r>
            <w:r w:rsidRPr="002605E7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lang w:eastAsia="sv-SE"/>
              </w:rPr>
              <w:t>väl genomarbetade</w:t>
            </w: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 uttrycksformer så att budskapet framgår. </w:t>
            </w:r>
          </w:p>
        </w:tc>
      </w:tr>
      <w:tr w:rsidR="004C7D2A" w:rsidRPr="002605E7" w:rsidTr="004C7D2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444444"/>
                <w:sz w:val="16"/>
                <w:szCs w:val="16"/>
                <w:lang w:eastAsia="sv-SE"/>
              </w:rPr>
            </w:pPr>
            <w:r w:rsidRPr="002605E7">
              <w:rPr>
                <w:rFonts w:ascii="Helvetica" w:eastAsia="Times New Roman" w:hAnsi="Helvetica" w:cs="Helvetica"/>
                <w:b/>
                <w:color w:val="444444"/>
                <w:sz w:val="16"/>
                <w:szCs w:val="16"/>
                <w:lang w:eastAsia="sv-SE"/>
              </w:rPr>
              <w:t>Tekniker, verktyg &amp; material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</w:pP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I arbetet kan eleven använda olika tekniker, verktyg och material på ett </w:t>
            </w:r>
            <w:r w:rsidRPr="002605E7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lang w:eastAsia="sv-SE"/>
              </w:rPr>
              <w:t>i huvudsak fungerande sätt</w:t>
            </w: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 och </w:t>
            </w:r>
            <w:r w:rsidRPr="002605E7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lang w:eastAsia="sv-SE"/>
              </w:rPr>
              <w:t>prövar</w:t>
            </w: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 då hur dessa kan kombineras för att skapa olika uttryck.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</w:pP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I arbetet kan eleven använda olika tekniker, verktyg och material på ett </w:t>
            </w:r>
            <w:r w:rsidRPr="002605E7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lang w:eastAsia="sv-SE"/>
              </w:rPr>
              <w:t>relativt väl fungerande och varierat sätt</w:t>
            </w: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 och </w:t>
            </w:r>
            <w:r w:rsidRPr="002605E7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lang w:eastAsia="sv-SE"/>
              </w:rPr>
              <w:t>prövar och omprövar</w:t>
            </w: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 då hur dessa kan kombineras för att skapa olika uttryck.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</w:pP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I arbetet kan eleven använda olika tekniker, verktyg och material på ett </w:t>
            </w:r>
            <w:r w:rsidRPr="002605E7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lang w:eastAsia="sv-SE"/>
              </w:rPr>
              <w:t>väl fungerande, varierat och idérikt sätt</w:t>
            </w: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 och </w:t>
            </w:r>
            <w:r w:rsidRPr="002605E7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lang w:eastAsia="sv-SE"/>
              </w:rPr>
              <w:t>prövar och omprövar då systematiskt</w:t>
            </w: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 hur dessa kan kombineras för att skapa olika uttryck. </w:t>
            </w:r>
          </w:p>
        </w:tc>
      </w:tr>
      <w:tr w:rsidR="004C7D2A" w:rsidRPr="002605E7" w:rsidTr="004C7D2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444444"/>
                <w:sz w:val="16"/>
                <w:szCs w:val="16"/>
                <w:lang w:eastAsia="sv-SE"/>
              </w:rPr>
            </w:pPr>
            <w:r w:rsidRPr="002605E7">
              <w:rPr>
                <w:rFonts w:ascii="Helvetica" w:eastAsia="Times New Roman" w:hAnsi="Helvetica" w:cs="Helvetica"/>
                <w:b/>
                <w:color w:val="444444"/>
                <w:sz w:val="16"/>
                <w:szCs w:val="16"/>
                <w:lang w:eastAsia="sv-SE"/>
              </w:rPr>
              <w:t>Kombinera bildelement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</w:pP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Dessutom kombinerar eleven former, färger och bildkompositioner på </w:t>
            </w:r>
            <w:r w:rsidRPr="002605E7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lang w:eastAsia="sv-SE"/>
              </w:rPr>
              <w:t>ett i huvudsak fungerande</w:t>
            </w: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 sätt.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</w:pP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Dessutom kombinerar eleven former, färger och bildkompositioner </w:t>
            </w:r>
            <w:r w:rsidRPr="002605E7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lang w:eastAsia="sv-SE"/>
              </w:rPr>
              <w:t>på ett relativt väl fungerande</w:t>
            </w: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 sätt.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</w:pP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Dessutom kombinerar eleven former, färger och bildkompositioner </w:t>
            </w:r>
            <w:r w:rsidRPr="002605E7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lang w:eastAsia="sv-SE"/>
              </w:rPr>
              <w:t>på ett väl fungerande</w:t>
            </w: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 sätt. </w:t>
            </w:r>
          </w:p>
        </w:tc>
      </w:tr>
      <w:tr w:rsidR="004C7D2A" w:rsidRPr="002605E7" w:rsidTr="004C7D2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200" w:rsidRPr="002605E7" w:rsidRDefault="00066200" w:rsidP="004C7D2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</w:pPr>
          </w:p>
          <w:p w:rsidR="004C7D2A" w:rsidRPr="002605E7" w:rsidRDefault="004C7D2A" w:rsidP="004C7D2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444444"/>
                <w:sz w:val="16"/>
                <w:szCs w:val="16"/>
                <w:lang w:eastAsia="sv-SE"/>
              </w:rPr>
            </w:pPr>
            <w:r w:rsidRPr="002605E7">
              <w:rPr>
                <w:rFonts w:ascii="Helvetica" w:eastAsia="Times New Roman" w:hAnsi="Helvetica" w:cs="Helvetica"/>
                <w:b/>
                <w:color w:val="444444"/>
                <w:sz w:val="16"/>
                <w:szCs w:val="16"/>
                <w:lang w:eastAsia="sv-SE"/>
              </w:rPr>
              <w:t>Utveckla idéer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</w:pP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Eleven kan i det bildskapande arbetet </w:t>
            </w:r>
            <w:r w:rsidRPr="002605E7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lang w:eastAsia="sv-SE"/>
              </w:rPr>
              <w:t>bidra till att utveckla</w:t>
            </w: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 idéer inom olika ämnesområden genom att återanvända samtida eller historiska bilder och bearbeta andra uppslag och inspirationsmaterial.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</w:pP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Eleven kan i det bildskapande arbetet </w:t>
            </w:r>
            <w:r w:rsidRPr="002605E7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lang w:eastAsia="sv-SE"/>
              </w:rPr>
              <w:t>utveckla delvis egna</w:t>
            </w: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 idéer inom olika ämnesområden genom att återanvända samtida eller historiska bilder och bearbeta andra uppslag och inspirationsmaterial.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</w:pP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Eleven kan i det bildskapande arbetet </w:t>
            </w:r>
            <w:r w:rsidRPr="002605E7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lang w:eastAsia="sv-SE"/>
              </w:rPr>
              <w:t>utveckla egna</w:t>
            </w: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 idéer inom olika ämnesområden genom att återanvända samtida eller historiska bilder och bearbeta andra uppslag och inspirationsmaterial. </w:t>
            </w:r>
          </w:p>
        </w:tc>
      </w:tr>
      <w:tr w:rsidR="004C7D2A" w:rsidRPr="002605E7" w:rsidTr="004C7D2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444444"/>
                <w:sz w:val="16"/>
                <w:szCs w:val="16"/>
                <w:lang w:eastAsia="sv-SE"/>
              </w:rPr>
            </w:pPr>
            <w:r w:rsidRPr="002605E7">
              <w:rPr>
                <w:rFonts w:ascii="Helvetica" w:eastAsia="Times New Roman" w:hAnsi="Helvetica" w:cs="Helvetica"/>
                <w:b/>
                <w:color w:val="444444"/>
                <w:sz w:val="16"/>
                <w:szCs w:val="16"/>
                <w:lang w:eastAsia="sv-SE"/>
              </w:rPr>
              <w:t>Formulera &amp; välja handlingsalternativ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444444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</w:pP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Under arbetsprocessen </w:t>
            </w:r>
            <w:r w:rsidRPr="002605E7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lang w:eastAsia="sv-SE"/>
              </w:rPr>
              <w:t>bidrar</w:t>
            </w: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 eleven </w:t>
            </w:r>
            <w:r w:rsidRPr="002605E7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lang w:eastAsia="sv-SE"/>
              </w:rPr>
              <w:t>till att formulera och välja handlingsalternativ som leder framåt</w:t>
            </w: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.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</w:pP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Under arbetsprocessen </w:t>
            </w:r>
            <w:r w:rsidRPr="002605E7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lang w:eastAsia="sv-SE"/>
              </w:rPr>
              <w:t>formulerar och väljer eleven handlingsalternativ som efter någon bearbetning leder framåt</w:t>
            </w: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.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</w:pP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Under arbetsprocessen </w:t>
            </w:r>
            <w:r w:rsidRPr="002605E7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lang w:eastAsia="sv-SE"/>
              </w:rPr>
              <w:t>formulerar och väljer eleven handlingsalternativ som leder framåt</w:t>
            </w: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. </w:t>
            </w:r>
          </w:p>
        </w:tc>
      </w:tr>
      <w:tr w:rsidR="004C7D2A" w:rsidRPr="002605E7" w:rsidTr="004C7D2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444444"/>
                <w:sz w:val="16"/>
                <w:szCs w:val="16"/>
                <w:lang w:eastAsia="sv-SE"/>
              </w:rPr>
            </w:pPr>
            <w:r w:rsidRPr="002605E7">
              <w:rPr>
                <w:rFonts w:ascii="Helvetica" w:eastAsia="Times New Roman" w:hAnsi="Helvetica" w:cs="Helvetica"/>
                <w:b/>
                <w:color w:val="444444"/>
                <w:sz w:val="16"/>
                <w:szCs w:val="16"/>
                <w:lang w:eastAsia="sv-SE"/>
              </w:rPr>
              <w:t>Presentera bilder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</w:pP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Dessutom kan eleven presentera sina bilder med </w:t>
            </w:r>
            <w:r w:rsidRPr="002605E7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lang w:eastAsia="sv-SE"/>
              </w:rPr>
              <w:t>viss anpassning</w:t>
            </w: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 till syfte och sammanhang.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</w:pP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Dessutom kan eleven presentera sina bilder med </w:t>
            </w:r>
            <w:r w:rsidRPr="002605E7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lang w:eastAsia="sv-SE"/>
              </w:rPr>
              <w:t>relativt god anpassning</w:t>
            </w: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 till syfte och sammanhang.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</w:pP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Dessutom kan eleven presentera sina bilder med </w:t>
            </w:r>
            <w:r w:rsidRPr="002605E7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lang w:eastAsia="sv-SE"/>
              </w:rPr>
              <w:t>god anpassning</w:t>
            </w: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 till syfte och sammanhang. </w:t>
            </w:r>
          </w:p>
        </w:tc>
      </w:tr>
      <w:tr w:rsidR="004C7D2A" w:rsidRPr="002605E7" w:rsidTr="004C7D2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444444"/>
                <w:sz w:val="16"/>
                <w:szCs w:val="16"/>
                <w:lang w:eastAsia="sv-SE"/>
              </w:rPr>
            </w:pPr>
            <w:r w:rsidRPr="002605E7">
              <w:rPr>
                <w:rFonts w:ascii="Helvetica" w:eastAsia="Times New Roman" w:hAnsi="Helvetica" w:cs="Helvetica"/>
                <w:b/>
                <w:color w:val="444444"/>
                <w:sz w:val="16"/>
                <w:szCs w:val="16"/>
                <w:lang w:eastAsia="sv-SE"/>
              </w:rPr>
              <w:t>Ge omdömen om arbetet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</w:pP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Eleven kan också ge </w:t>
            </w:r>
            <w:r w:rsidRPr="002605E7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lang w:eastAsia="sv-SE"/>
              </w:rPr>
              <w:t>enkla</w:t>
            </w: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 omdömen om arbetsprocessen och visar då på </w:t>
            </w:r>
            <w:r w:rsidRPr="002605E7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lang w:eastAsia="sv-SE"/>
              </w:rPr>
              <w:t>enkla</w:t>
            </w: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 samband mellan uttryck, innehåll, funktion och kvalitet i bildarbetet.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</w:pP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Eleven kan också ge </w:t>
            </w:r>
            <w:r w:rsidRPr="002605E7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lang w:eastAsia="sv-SE"/>
              </w:rPr>
              <w:t>utvecklade</w:t>
            </w: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 omdömen om arbetsprocessen och visar då på </w:t>
            </w:r>
            <w:r w:rsidRPr="002605E7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lang w:eastAsia="sv-SE"/>
              </w:rPr>
              <w:t>förhållandevis komplexa</w:t>
            </w: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 samband mellan uttryck, innehåll, funktion och kvalitet i bildarbetet.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</w:pP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Eleven kan också ge </w:t>
            </w:r>
            <w:r w:rsidRPr="002605E7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lang w:eastAsia="sv-SE"/>
              </w:rPr>
              <w:t>välutvecklade</w:t>
            </w: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 omdömen om arbetsprocessen och visar då på </w:t>
            </w:r>
            <w:r w:rsidRPr="002605E7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lang w:eastAsia="sv-SE"/>
              </w:rPr>
              <w:t>komplexa</w:t>
            </w: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 samband mellan uttryck, innehåll, funktion och kvalitet i bildarbetet. </w:t>
            </w:r>
          </w:p>
        </w:tc>
      </w:tr>
      <w:tr w:rsidR="004C7D2A" w:rsidRPr="002605E7" w:rsidTr="004C7D2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444444"/>
                <w:sz w:val="16"/>
                <w:szCs w:val="16"/>
                <w:lang w:eastAsia="sv-SE"/>
              </w:rPr>
            </w:pPr>
            <w:r w:rsidRPr="002605E7">
              <w:rPr>
                <w:rFonts w:ascii="Helvetica" w:eastAsia="Times New Roman" w:hAnsi="Helvetica" w:cs="Helvetica"/>
                <w:b/>
                <w:color w:val="444444"/>
                <w:sz w:val="16"/>
                <w:szCs w:val="16"/>
                <w:lang w:eastAsia="sv-SE"/>
              </w:rPr>
              <w:t>Tolka, resonera &amp; koppla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</w:pP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Eleven kan tolka såväl samtida som historiska bilder och visuell kultur och för då </w:t>
            </w:r>
            <w:r w:rsidRPr="002605E7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lang w:eastAsia="sv-SE"/>
              </w:rPr>
              <w:t>enkla och till viss del underbyggda</w:t>
            </w: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 resonemang med kopplingar till egna erfarenheter, andra verk och företeelser i omvärlden.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</w:pP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Eleven kan tolka såväl samtida som historiska bilder och visuell kultur och för då </w:t>
            </w:r>
            <w:r w:rsidRPr="002605E7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lang w:eastAsia="sv-SE"/>
              </w:rPr>
              <w:t>utvecklade och relativt väl underbyggda</w:t>
            </w: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 resonemang med kopplingar till egna erfarenheter, andra verk och företeelser i omvärlden.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</w:pP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Eleven kan tolka såväl samtida som historiska bilder och visuell kultur och för då </w:t>
            </w:r>
            <w:r w:rsidRPr="002605E7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lang w:eastAsia="sv-SE"/>
              </w:rPr>
              <w:t>välutvecklade och väl underbyggda</w:t>
            </w: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 resonemang med kopplingar till egna erfarenheter, andra verk och företeelser i omvärlden. </w:t>
            </w:r>
          </w:p>
        </w:tc>
      </w:tr>
      <w:tr w:rsidR="004C7D2A" w:rsidRPr="002605E7" w:rsidTr="004C7D2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444444"/>
                <w:sz w:val="16"/>
                <w:szCs w:val="16"/>
                <w:lang w:eastAsia="sv-SE"/>
              </w:rPr>
            </w:pPr>
            <w:r w:rsidRPr="002605E7">
              <w:rPr>
                <w:rFonts w:ascii="Helvetica" w:eastAsia="Times New Roman" w:hAnsi="Helvetica" w:cs="Helvetica"/>
                <w:b/>
                <w:color w:val="444444"/>
                <w:sz w:val="16"/>
                <w:szCs w:val="16"/>
                <w:lang w:eastAsia="sv-SE"/>
              </w:rPr>
              <w:t>Beskriva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</w:pP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Dessutom beskriver eleven bildernas och verkens uttryck, innehåll och funktion på ett </w:t>
            </w:r>
            <w:r w:rsidRPr="002605E7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lang w:eastAsia="sv-SE"/>
              </w:rPr>
              <w:t>enkelt</w:t>
            </w: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 sätt med </w:t>
            </w:r>
            <w:r w:rsidRPr="002605E7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lang w:eastAsia="sv-SE"/>
              </w:rPr>
              <w:t>viss</w:t>
            </w: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 användning av ämnesspecifika begrepp.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</w:pP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Dessutom beskriver eleven bildernas och verkens uttryck, innehåll och funktion på ett </w:t>
            </w:r>
            <w:r w:rsidRPr="002605E7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lang w:eastAsia="sv-SE"/>
              </w:rPr>
              <w:t>utvecklat</w:t>
            </w: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 sätt med </w:t>
            </w:r>
            <w:r w:rsidRPr="002605E7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lang w:eastAsia="sv-SE"/>
              </w:rPr>
              <w:t>relativt god</w:t>
            </w: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 användning av ämnesspecifika begrepp.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D2A" w:rsidRPr="002605E7" w:rsidRDefault="004C7D2A" w:rsidP="004C7D2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</w:pP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Dessutom beskriver eleven bildernas och verkens uttryck, innehåll och funktion på ett </w:t>
            </w:r>
            <w:r w:rsidRPr="002605E7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lang w:eastAsia="sv-SE"/>
              </w:rPr>
              <w:t>välutvecklat</w:t>
            </w: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 sätt med </w:t>
            </w:r>
            <w:r w:rsidRPr="002605E7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lang w:eastAsia="sv-SE"/>
              </w:rPr>
              <w:t>god</w:t>
            </w:r>
            <w:r w:rsidRPr="002605E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sv-SE"/>
              </w:rPr>
              <w:t xml:space="preserve"> användning av ämnesspecifika begrepp. </w:t>
            </w:r>
          </w:p>
        </w:tc>
      </w:tr>
    </w:tbl>
    <w:p w:rsidR="004C7D2A" w:rsidRPr="002605E7" w:rsidRDefault="004C7D2A">
      <w:pPr>
        <w:rPr>
          <w:sz w:val="16"/>
          <w:szCs w:val="16"/>
        </w:rPr>
      </w:pPr>
    </w:p>
    <w:p w:rsidR="004C7D2A" w:rsidRPr="002605E7" w:rsidRDefault="004C7D2A">
      <w:pPr>
        <w:rPr>
          <w:sz w:val="16"/>
          <w:szCs w:val="16"/>
        </w:rPr>
      </w:pPr>
    </w:p>
    <w:p w:rsidR="002927F7" w:rsidRPr="002605E7" w:rsidRDefault="002927F7">
      <w:pPr>
        <w:rPr>
          <w:sz w:val="16"/>
          <w:szCs w:val="16"/>
        </w:rPr>
      </w:pPr>
      <w:r w:rsidRPr="002605E7">
        <w:rPr>
          <w:sz w:val="16"/>
          <w:szCs w:val="16"/>
        </w:rPr>
        <w:br/>
      </w:r>
    </w:p>
    <w:p w:rsidR="002927F7" w:rsidRPr="002605E7" w:rsidRDefault="002927F7">
      <w:pPr>
        <w:rPr>
          <w:sz w:val="16"/>
          <w:szCs w:val="16"/>
        </w:rPr>
      </w:pPr>
    </w:p>
    <w:sectPr w:rsidR="002927F7" w:rsidRPr="0026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7"/>
    <w:rsid w:val="000262B3"/>
    <w:rsid w:val="00066200"/>
    <w:rsid w:val="001E2CBB"/>
    <w:rsid w:val="002605E7"/>
    <w:rsid w:val="002927F7"/>
    <w:rsid w:val="004C7D2A"/>
    <w:rsid w:val="00714321"/>
    <w:rsid w:val="00767D6E"/>
    <w:rsid w:val="0088696D"/>
    <w:rsid w:val="008D7ED4"/>
    <w:rsid w:val="00B91E7F"/>
    <w:rsid w:val="00BD2760"/>
    <w:rsid w:val="00C11660"/>
    <w:rsid w:val="00C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4076"/>
  <w15:chartTrackingRefBased/>
  <w15:docId w15:val="{116A53EB-082F-4554-A209-FBB0C93A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ad">
    <w:name w:val="lead"/>
    <w:basedOn w:val="Normal"/>
    <w:rsid w:val="004C7D2A"/>
    <w:pPr>
      <w:spacing w:after="300" w:line="360" w:lineRule="atLeast"/>
    </w:pPr>
    <w:rPr>
      <w:rFonts w:ascii="Times New Roman" w:eastAsia="Times New Roman" w:hAnsi="Times New Roman" w:cs="Times New Roman"/>
      <w:sz w:val="25"/>
      <w:szCs w:val="25"/>
      <w:lang w:eastAsia="sv-SE"/>
    </w:rPr>
  </w:style>
  <w:style w:type="paragraph" w:styleId="Liststycke">
    <w:name w:val="List Paragraph"/>
    <w:basedOn w:val="Normal"/>
    <w:uiPriority w:val="34"/>
    <w:qFormat/>
    <w:rsid w:val="00714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6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1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33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838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Windolf Malin</dc:creator>
  <cp:keywords/>
  <dc:description/>
  <cp:lastModifiedBy>Windolf Malin</cp:lastModifiedBy>
  <cp:revision>13</cp:revision>
  <dcterms:created xsi:type="dcterms:W3CDTF">2017-01-16T18:09:00Z</dcterms:created>
  <dcterms:modified xsi:type="dcterms:W3CDTF">2017-01-17T07:07:00Z</dcterms:modified>
</cp:coreProperties>
</file>